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278</w:t>
      </w:r>
    </w:p>
    <w:p>
      <w:r>
        <w:t>Bundesgericht (BGE), 1975-10-10, DE</w:t>
      </w:r>
    </w:p>
    <w:p>
      <w:r>
        <w:rPr>
          <w:b/>
        </w:rPr>
        <w:t xml:space="preserve">Quelle: </w:t>
      </w:r>
      <w:r>
        <w:t>https://mcp.opencaselaw.ch/entscheid/bge_101 IV 278</w:t>
      </w:r>
    </w:p>
    <w:p>
      <w:r>
        <w:t>FR: ATF 101 IV 278</w:t>
      </w:r>
    </w:p>
    <w:p>
      <w:r>
        <w:t>IT: DTF 101 IV 278</w:t>
      </w:r>
    </w:p>
    <w:p>
      <w:pPr>
        <w:pStyle w:val="Heading2"/>
      </w:pPr>
      <w:r>
        <w:t>Regeste</w:t>
      </w:r>
    </w:p>
    <w:p>
      <w:r>
        <w:t>Regeste Art. 110 Ziff. 5 StGB. 1. Die Beweisbestimmung allein macht ein Schriftstück nicht zur Urkunde; es muss überdies nach Gesetz oder Verkehrsübung zum Beweis geeignet sein. 2. Quittungen sind Urkunden, sobald sie an den Schuldner gelangt sind.</w:t>
      </w:r>
    </w:p>
    <w:p>
      <w:pPr>
        <w:pStyle w:val="Heading2"/>
      </w:pPr>
      <w:r>
        <w:t>Erwägungen</w:t>
      </w:r>
    </w:p>
    <w:p>
      <w:r>
        <w:rPr>
          <w:b/>
        </w:rPr>
        <w:t>E. 2</w:t>
      </w:r>
    </w:p>
    <w:p>
      <w:r>
        <w:t>b) Nach Art. 110 Ziff. 5 StGB sind Urkunden u.a. Schriften, die bestimmt oder geeignet sind, eine Tatsache von rechtlicher Bedeutung zu beweisen. Daraus hat die bundesgerichtliche Rechtsprechung ( BGE 81 IV 240 , BGE 91 IV 7 , BGE 95 IV 71 ) gefolgert, es genüge, dass ein Schriftstück zum Beweis bestimmt sei, geeignet dazu müsse es nicht sein. Unter Beweiseignung wurde jedoch lediglich die Tauglichkeit verstanden, überhaupt (allein oder zusammen mit andern Urkunden) Beweismittel BGE 101 IV 278 S. 279 zum Nachweis des dargestellten Sachverhaltes zu sein; ob die Schrift im konkreten Fall glaubwürdig, also beweiskräftig sei, hängt von den Umständen des Einzelfalles und der Beweiswürdigung ab, berührt aber ihren Urkundencharakter nicht (z.B. BGE 81 IV 240 /41). Ein Teil der Literatur (in BGE 95 IV 71 erwähnt) sieht hingegen in der Beweiseignung eine Eigenschaft, die allen Urkunden zukommen müsse. Die alternative Formel "oder" in Art. 110 Ziff. 5 StGB würde demnach besagen, dass nicht nur die sog. Absichtsurkunden, d.h. Urkunden, die zu Beweiszwecken geschaffen wurden, sondern auch sog. Zufallsurkunden, d.h. schriftliche Äusserungen, die erst nachträglich Beweisbedeutung erlangen und nicht schon zu Beweiszwecken geschaffen wurden, Urkunden seien. Die Urkunde ist geschützt, weil sie ein Beweismittel ist. Mittel zum Beweis kann aber nur sein, was generell geeignet ist, Beweis zu erbringen. Nur ihres Beweiswertes willen werden die Urkunden strafrechtlich geschützt. Wer in einem Schriftstück das Bestehen oder Nichtbestehen einer rechtserheblichen Tatsache als wahr hinstellen will, und mag er das noch so sehr beteuern, kann diesem Schriftstück noch nicht den Charakter einer Urkunde verleihen, ebenso wenig wie entsprechende Beteuerungen von Parteien vor Gericht als solche Beweismittel sind. Zum Willen der Partei, mit einer schriftlichen Erklärung Beweis zu schaffen, muss als weiteres Element hinzukommen, dass dieser schriftlichen Bescheinigung durch Gesetz oder Verkehrsübung Beweiseignung zuerkannt wird. Das trifft für Quittungen zu. Wenn nicht schon nach Gesetz ( Art. 88 OR ), besitzen sie jedenfalls nach der Verkehrsübung Beweiskraft, sobald sie in die Hand des Schuldners gelangt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